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Josefin Sans" w:cs="Josefin Sans" w:eastAsia="Josefin Sans" w:hAnsi="Josefin Sans"/>
          <w:b w:val="1"/>
          <w:sz w:val="46"/>
          <w:szCs w:val="46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46"/>
          <w:szCs w:val="46"/>
          <w:rtl w:val="0"/>
        </w:rPr>
        <w:t xml:space="preserve">Modelled Reading- Analysing a text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Josefin Sans" w:cs="Josefin Sans" w:eastAsia="Josefin Sans" w:hAnsi="Josefin Sa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6.0" w:type="dxa"/>
        <w:jc w:val="left"/>
        <w:tblInd w:w="-8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1006"/>
        <w:tblGridChange w:id="0">
          <w:tblGrid>
            <w:gridCol w:w="1100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46"/>
                <w:szCs w:val="46"/>
                <w:rtl w:val="0"/>
              </w:rPr>
              <w:t xml:space="preserve">Adopt-a-Dog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center" w:pos="5585"/>
                <w:tab w:val="left" w:pos="9045"/>
              </w:tabs>
              <w:rPr/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6"/>
                <w:szCs w:val="3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center" w:pos="5585"/>
                <w:tab w:val="left" w:pos="9045"/>
              </w:tabs>
              <w:rPr>
                <w:rFonts w:ascii="Josefin Sans" w:cs="Josefin Sans" w:eastAsia="Josefin Sans" w:hAnsi="Josefin San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6"/>
                <w:szCs w:val="36"/>
                <w:rtl w:val="0"/>
              </w:rPr>
              <w:tab/>
            </w:r>
            <w:r w:rsidDel="00000000" w:rsidR="00000000" w:rsidRPr="00000000">
              <w:rPr/>
              <w:drawing>
                <wp:inline distB="0" distT="0" distL="0" distR="0">
                  <wp:extent cx="3356975" cy="1985209"/>
                  <wp:effectExtent b="0" l="0" r="0" t="0"/>
                  <wp:docPr descr="Students talking in the classroom 696078 Vector Art at Vecteezy" id="3" name="image3.jpg"/>
                  <a:graphic>
                    <a:graphicData uri="http://schemas.openxmlformats.org/drawingml/2006/picture">
                      <pic:pic>
                        <pic:nvPicPr>
                          <pic:cNvPr descr="Students talking in the classroom 696078 Vector Art at Vecteezy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28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975" cy="19852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32"/>
                <w:szCs w:val="32"/>
                <w:highlight w:val="yellow"/>
                <w:rtl w:val="0"/>
              </w:rPr>
              <w:t xml:space="preserve">Important: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32"/>
                <w:szCs w:val="32"/>
                <w:rtl w:val="0"/>
              </w:rPr>
              <w:t xml:space="preserve"> Watch the video link in your timetable to see Ms Noonan explain this lesson in detail.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Today, we are practising analysing a whole text to understand the main idea of what we have read. 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There are three parts to this activity: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720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  <w:rtl w:val="0"/>
              </w:rPr>
              <w:t xml:space="preserve">Read the text below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720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  <w:rtl w:val="0"/>
              </w:rPr>
              <w:t xml:space="preserve">Read the text a second time and highlight the important information.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(You can either print the lesson out and highlight with a highlighter or use the highlighter tool on the tool bar above. It should look something like this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847725</wp:posOffset>
                  </wp:positionV>
                  <wp:extent cx="1163108" cy="26670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8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762000</wp:posOffset>
                      </wp:positionV>
                      <wp:extent cx="381000" cy="3714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74550" y="3613313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762000</wp:posOffset>
                      </wp:positionV>
                      <wp:extent cx="381000" cy="3714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720"/>
              <w:rPr>
                <w:rFonts w:ascii="Josefin Sans" w:cs="Josefin Sans" w:eastAsia="Josefin Sans" w:hAnsi="Josefin San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  <w:rtl w:val="0"/>
              </w:rPr>
              <w:t xml:space="preserve">Look at the information you have highlighted to help you fill in the table below.  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Style w:val="Heading3"/>
              <w:rPr>
                <w:rFonts w:ascii="Comic Sans MS" w:cs="Comic Sans MS" w:eastAsia="Comic Sans MS" w:hAnsi="Comic Sans MS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32"/>
                <w:szCs w:val="32"/>
                <w:rtl w:val="0"/>
              </w:rPr>
              <w:t xml:space="preserve">Adopt-a-Dog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Adopt-a-Dog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0898761234  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adoptadog@dogmail.com</w:t>
            </w:r>
          </w:p>
          <w:p w:rsidR="00000000" w:rsidDel="00000000" w:rsidP="00000000" w:rsidRDefault="00000000" w:rsidRPr="00000000" w14:paraId="00000012">
            <w:pPr>
              <w:pStyle w:val="Heading4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2060"/>
                <w:sz w:val="32"/>
                <w:szCs w:val="32"/>
                <w:rtl w:val="0"/>
              </w:rPr>
              <w:t xml:space="preserve">Candy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rtl w:val="0"/>
              </w:rPr>
              <w:t xml:space="preserve">Size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small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rtl w:val="0"/>
              </w:rPr>
              <w:t xml:space="preserve">Breed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Australian Terrier cross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rtl w:val="0"/>
              </w:rPr>
              <w:t xml:space="preserve">Colour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black, white and tan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rtl w:val="0"/>
              </w:rPr>
              <w:t xml:space="preserve">Age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four years old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rtl w:val="0"/>
              </w:rPr>
              <w:t xml:space="preserve">Personality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gentle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Candy is a fun-loving dog who could come home with you straightaway-or in two wags of a tail. She is a much-loved pet but sadly, her family has moved overseas. Candy is now searching for a new family. Could Candy be the perfect pet you are looking for?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Evans family found their perfect pet last year when they adopted a Labrador. Here’s what they said: “We love Rocky. He is really part of our family. He loves to be walked and to play with the kids.”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At Adopt-a-Dog we know that each of our furry friends will make a great addition to your family. Kids, are you having trouble convincing your parents? Tell them that Candy is friendlier than a cat, more interesting than a fish and cheaper to feed than a pony. And if you are lucky enough to take Candy home, you can even start using the excuse, “The dog ate my homework!’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We are proud to say that Adopt-a-Dog has helped more than fifty dogs to find a home this year. All our dogs have been to the vet so they are desexed, microchipped, vaccinated and wormed.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***You can adopt Candy now for three hundred dollars***.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You would have to be barking mad to miss out.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Candy has our full four paws of approval!</w:t>
            </w:r>
          </w:p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3 NAPLAN Reading Magazine, 2014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ACARA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65.0" w:type="dxa"/>
              <w:jc w:val="left"/>
              <w:tblInd w:w="133.0" w:type="dxa"/>
              <w:tblBorders>
                <w:top w:color="000000" w:space="0" w:sz="24" w:val="single"/>
                <w:left w:color="000000" w:space="0" w:sz="24" w:val="single"/>
                <w:bottom w:color="000000" w:space="0" w:sz="24" w:val="single"/>
                <w:right w:color="000000" w:space="0" w:sz="24" w:val="single"/>
                <w:insideH w:color="000000" w:space="0" w:sz="24" w:val="single"/>
                <w:insideV w:color="000000" w:space="0" w:sz="24" w:val="single"/>
              </w:tblBorders>
              <w:tblLayout w:type="fixed"/>
              <w:tblLook w:val="0400"/>
            </w:tblPr>
            <w:tblGrid>
              <w:gridCol w:w="3397"/>
              <w:gridCol w:w="1765"/>
              <w:gridCol w:w="1765"/>
              <w:gridCol w:w="3538"/>
              <w:tblGridChange w:id="0">
                <w:tblGrid>
                  <w:gridCol w:w="3397"/>
                  <w:gridCol w:w="1765"/>
                  <w:gridCol w:w="1765"/>
                  <w:gridCol w:w="3538"/>
                </w:tblGrid>
              </w:tblGridChange>
            </w:tblGrid>
            <w:tr>
              <w:trPr>
                <w:cantSplit w:val="0"/>
                <w:trHeight w:val="2387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27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Key Vocabulary</w:t>
                  </w:r>
                </w:p>
                <w:p w:rsidR="00000000" w:rsidDel="00000000" w:rsidP="00000000" w:rsidRDefault="00000000" w:rsidRPr="00000000" w14:paraId="00000028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2B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Repeated vocabulary</w:t>
                  </w:r>
                </w:p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87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Detail</w:t>
                  </w:r>
                </w:p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30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Detail</w:t>
                  </w:r>
                </w:p>
                <w:p w:rsidR="00000000" w:rsidDel="00000000" w:rsidP="00000000" w:rsidRDefault="00000000" w:rsidRPr="00000000" w14:paraId="00000031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Detail</w:t>
                  </w:r>
                </w:p>
                <w:p w:rsidR="00000000" w:rsidDel="00000000" w:rsidP="00000000" w:rsidRDefault="00000000" w:rsidRPr="00000000" w14:paraId="00000034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27" w:hRule="atLeast"/>
                <w:tblHeader w:val="0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035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Main Idea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28"/>
                      <w:szCs w:val="28"/>
                      <w:rtl w:val="0"/>
                    </w:rPr>
                    <w:t xml:space="preserve">(1 sentence only)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spacing w:line="276" w:lineRule="auto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spacing w:line="276" w:lineRule="auto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spacing w:line="276" w:lineRule="auto"/>
                    <w:jc w:val="center"/>
                    <w:rPr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widowControl w:val="0"/>
              <w:spacing w:before="200" w:line="216" w:lineRule="auto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Josefin Sans" w:cs="Josefin Sans" w:eastAsia="Josefin Sans" w:hAnsi="Josefi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Josefin Sans" w:cs="Josefin Sans" w:eastAsia="Josefin Sans" w:hAnsi="Josefi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Josefin Sans" w:cs="Josefin Sans" w:eastAsia="Josefin Sans" w:hAnsi="Josefin San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  <w:font w:name="Comic Sans MS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sefi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270" w:firstLine="0"/>
      <w:jc w:val="right"/>
      <w:rPr/>
    </w:pPr>
    <w:r w:rsidDel="00000000" w:rsidR="00000000" w:rsidRPr="00000000">
      <w:rPr>
        <w:rFonts w:ascii="Cabin" w:cs="Cabin" w:eastAsia="Cabin" w:hAnsi="Cabin"/>
        <w:rtl w:val="0"/>
      </w:rPr>
      <w:t xml:space="preserve">© HyperDocs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Josefin Sans" w:cs="Josefin Sans" w:eastAsia="Josefin Sans" w:hAnsi="Josefin Sans"/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Josefin Sans" w:cs="Josefin Sans" w:eastAsia="Josefin Sans" w:hAnsi="Josefin Sans"/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Josefin Sans" w:cs="Josefin Sans" w:eastAsia="Josefin Sans" w:hAnsi="Josefin Sans"/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JosefinSans-regular.ttf"/><Relationship Id="rId6" Type="http://schemas.openxmlformats.org/officeDocument/2006/relationships/font" Target="fonts/JosefinSans-bold.ttf"/><Relationship Id="rId7" Type="http://schemas.openxmlformats.org/officeDocument/2006/relationships/font" Target="fonts/JosefinSans-italic.ttf"/><Relationship Id="rId8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